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附件4</w:t>
      </w:r>
    </w:p>
    <w:p>
      <w:pPr>
        <w:tabs>
          <w:tab w:val="left" w:pos="2380"/>
          <w:tab w:val="center" w:pos="4212"/>
        </w:tabs>
        <w:ind w:left="0" w:leftChars="0" w:firstLine="0" w:firstLineChars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废旧进出仓设备等资产处置竞价表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584"/>
        <w:tblOverlap w:val="never"/>
        <w:tblW w:w="9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075"/>
        <w:gridCol w:w="2560"/>
        <w:gridCol w:w="2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/>
                <w:lang w:val="en-US" w:eastAsia="zh-CN"/>
              </w:rPr>
              <w:t>废旧进出仓设备等资产处置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拟处置物资</w:t>
            </w:r>
          </w:p>
        </w:tc>
        <w:tc>
          <w:tcPr>
            <w:tcW w:w="3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/>
                <w:lang w:val="en-US" w:eastAsia="zh-CN"/>
              </w:rPr>
              <w:t>废旧进出仓设备等资产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（废铁）</w:t>
            </w:r>
          </w:p>
        </w:tc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竞价底价</w:t>
            </w:r>
          </w:p>
        </w:tc>
        <w:tc>
          <w:tcPr>
            <w:tcW w:w="2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2052元/吨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竞价人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竞价报价</w:t>
            </w: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80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价格构成说明：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所报价格包含拆解人工费、机械费、运输费、保险费、吊装费等全部费用的综合单价。包括但不仅限于竞价标的本身的价值和处置标的物施工的费用。小写与大写金额必须保持一致。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低于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竞价底价</w:t>
            </w: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  <w:lang w:val="en-US" w:eastAsia="zh-CN"/>
              </w:rPr>
              <w:t>的报价无效。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4" w:hRule="atLeast"/>
          <w:jc w:val="center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竞价人确认</w:t>
            </w:r>
          </w:p>
        </w:tc>
        <w:tc>
          <w:tcPr>
            <w:tcW w:w="8003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我方自愿参加竞价，所递交文件真实、有效。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我方已知晓并认可《废旧进出仓设备等资产公开竞价处置公告》的全部内容。并按公告要求提供文件作为本次竞价的竞价文件。如果成交，我方将按照竞价公告的规定日期内缴纳履约保证金、签订合同、履行合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竞价人（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  月    日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竞价编号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D484D85"/>
    <w:rsid w:val="34120102"/>
    <w:rsid w:val="6A02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318</Characters>
  <Lines>0</Lines>
  <Paragraphs>0</Paragraphs>
  <TotalTime>2</TotalTime>
  <ScaleCrop>false</ScaleCrop>
  <LinksUpToDate>false</LinksUpToDate>
  <CharactersWithSpaces>326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2023-04-24T07:11:44Z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FA7EF5C063B349039ABDAF2FB7DF5CC2</vt:lpwstr>
  </property>
</Properties>
</file>